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081"/>
        <w:gridCol w:w="2235"/>
        <w:gridCol w:w="527"/>
        <w:gridCol w:w="1815"/>
        <w:gridCol w:w="2970"/>
      </w:tblGrid>
      <w:tr w:rsidR="00E507C2" w:rsidRPr="00F31E3A" w14:paraId="7F90BA88" w14:textId="77777777" w:rsidTr="00BF2563">
        <w:trPr>
          <w:cantSplit/>
          <w:trHeight w:val="284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0000"/>
            <w:vAlign w:val="center"/>
          </w:tcPr>
          <w:p w14:paraId="7A3E55B7" w14:textId="77777777" w:rsidR="00E507C2" w:rsidRPr="00F31E3A" w:rsidRDefault="00E507C2" w:rsidP="00BF2563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F31E3A">
              <w:rPr>
                <w:rFonts w:cs="Arial"/>
                <w:b/>
                <w:sz w:val="18"/>
                <w:szCs w:val="18"/>
              </w:rPr>
              <w:t>Scheda</w:t>
            </w:r>
          </w:p>
          <w:p w14:paraId="446B419F" w14:textId="77777777" w:rsidR="00E507C2" w:rsidRPr="00F31E3A" w:rsidRDefault="00E507C2" w:rsidP="00BF2563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1C1449B" w14:textId="77777777" w:rsidR="00E507C2" w:rsidRPr="00F31E3A" w:rsidRDefault="00E507C2" w:rsidP="00BF2563">
            <w:pPr>
              <w:spacing w:after="0" w:line="240" w:lineRule="auto"/>
              <w:ind w:firstLine="0"/>
              <w:jc w:val="center"/>
              <w:rPr>
                <w:rFonts w:cs="Arial"/>
                <w:i/>
                <w:sz w:val="18"/>
                <w:szCs w:val="18"/>
              </w:rPr>
            </w:pPr>
            <w:r w:rsidRPr="00F31E3A">
              <w:rPr>
                <w:rFonts w:cs="Arial"/>
                <w:b/>
                <w:sz w:val="18"/>
                <w:szCs w:val="18"/>
              </w:rPr>
              <w:t>Codice del SIC/ZPS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B7D4EF" w:themeFill="text2" w:themeFillTint="33"/>
            <w:vAlign w:val="center"/>
          </w:tcPr>
          <w:p w14:paraId="4E71D1F6" w14:textId="02EF9167" w:rsidR="00E507C2" w:rsidRPr="00F31E3A" w:rsidRDefault="00E507C2" w:rsidP="00BF2563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E507C2" w:rsidRPr="00F31E3A" w14:paraId="47D944CC" w14:textId="77777777" w:rsidTr="00BF2563">
        <w:trPr>
          <w:cantSplit/>
          <w:trHeight w:val="284"/>
        </w:trPr>
        <w:tc>
          <w:tcPr>
            <w:tcW w:w="2081" w:type="dxa"/>
            <w:vMerge/>
            <w:tcBorders>
              <w:top w:val="single" w:sz="6" w:space="0" w:color="000000"/>
              <w:left w:val="single" w:sz="4" w:space="0" w:color="000000"/>
            </w:tcBorders>
            <w:shd w:val="clear" w:color="auto" w:fill="FF0000"/>
            <w:vAlign w:val="center"/>
          </w:tcPr>
          <w:p w14:paraId="6E50F062" w14:textId="77777777" w:rsidR="00E507C2" w:rsidRPr="00F31E3A" w:rsidRDefault="00E507C2" w:rsidP="00BF2563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222DEE8" w14:textId="77777777" w:rsidR="00E507C2" w:rsidRPr="00F31E3A" w:rsidRDefault="00E507C2" w:rsidP="00BF2563">
            <w:pPr>
              <w:spacing w:after="0" w:line="240" w:lineRule="auto"/>
              <w:ind w:firstLine="0"/>
              <w:jc w:val="center"/>
              <w:rPr>
                <w:rFonts w:cs="Arial"/>
                <w:i/>
                <w:sz w:val="18"/>
                <w:szCs w:val="18"/>
              </w:rPr>
            </w:pPr>
            <w:r w:rsidRPr="00F31E3A">
              <w:rPr>
                <w:rFonts w:cs="Arial"/>
                <w:b/>
                <w:sz w:val="18"/>
                <w:szCs w:val="18"/>
              </w:rPr>
              <w:t>Nome del SIC/ZPS</w:t>
            </w:r>
          </w:p>
        </w:tc>
        <w:tc>
          <w:tcPr>
            <w:tcW w:w="53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B7D4EF" w:themeFill="text2" w:themeFillTint="33"/>
            <w:vAlign w:val="center"/>
          </w:tcPr>
          <w:p w14:paraId="7ECE3522" w14:textId="3BA9D48A" w:rsidR="00E507C2" w:rsidRPr="00F31E3A" w:rsidRDefault="00E507C2" w:rsidP="00BF2563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E507C2" w:rsidRPr="00F31E3A" w14:paraId="5F23E4A3" w14:textId="77777777" w:rsidTr="00BF2563">
        <w:trPr>
          <w:cantSplit/>
          <w:trHeight w:val="284"/>
        </w:trPr>
        <w:tc>
          <w:tcPr>
            <w:tcW w:w="2081" w:type="dxa"/>
            <w:vMerge w:val="restart"/>
            <w:tcBorders>
              <w:left w:val="single" w:sz="4" w:space="0" w:color="000000"/>
            </w:tcBorders>
            <w:shd w:val="clear" w:color="auto" w:fill="FF0000"/>
            <w:vAlign w:val="center"/>
          </w:tcPr>
          <w:p w14:paraId="7531323A" w14:textId="77777777" w:rsidR="00E507C2" w:rsidRPr="00E507C2" w:rsidRDefault="00E507C2" w:rsidP="00E507C2">
            <w:pPr>
              <w:widowControl w:val="0"/>
              <w:suppressAutoHyphens/>
              <w:snapToGrid w:val="0"/>
              <w:spacing w:after="0" w:line="240" w:lineRule="auto"/>
              <w:ind w:firstLine="0"/>
              <w:rPr>
                <w:rFonts w:cs="Arial"/>
                <w:b/>
                <w:i/>
                <w:sz w:val="18"/>
                <w:szCs w:val="18"/>
              </w:rPr>
            </w:pP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B60DF64" w14:textId="77777777" w:rsidR="00E507C2" w:rsidRPr="00F31E3A" w:rsidRDefault="00E507C2" w:rsidP="00BF2563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F31E3A">
              <w:rPr>
                <w:rFonts w:cs="Arial"/>
                <w:b/>
                <w:sz w:val="18"/>
                <w:szCs w:val="18"/>
              </w:rPr>
              <w:t>Titolo dell’azione</w:t>
            </w:r>
          </w:p>
        </w:tc>
        <w:tc>
          <w:tcPr>
            <w:tcW w:w="53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6F723" w14:textId="10961818" w:rsidR="00E507C2" w:rsidRPr="00F31E3A" w:rsidRDefault="00E507C2" w:rsidP="00BF2563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E507C2">
              <w:rPr>
                <w:rFonts w:cs="Arial"/>
                <w:b/>
                <w:bCs/>
                <w:sz w:val="18"/>
                <w:szCs w:val="18"/>
              </w:rPr>
              <w:t>Divieto di realizzazione nuove linee elettriche aree</w:t>
            </w:r>
          </w:p>
        </w:tc>
      </w:tr>
      <w:tr w:rsidR="00E507C2" w:rsidRPr="00F31E3A" w14:paraId="3793A48B" w14:textId="77777777" w:rsidTr="00687F53">
        <w:trPr>
          <w:cantSplit/>
          <w:trHeight w:val="284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FF0000"/>
            <w:vAlign w:val="center"/>
          </w:tcPr>
          <w:p w14:paraId="7F0722C5" w14:textId="77777777" w:rsidR="00E507C2" w:rsidRPr="00F31E3A" w:rsidRDefault="00E507C2" w:rsidP="00BF2563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FCDCC70" w14:textId="77777777" w:rsidR="00E507C2" w:rsidRPr="00F31E3A" w:rsidRDefault="00E507C2" w:rsidP="00BF2563">
            <w:pPr>
              <w:tabs>
                <w:tab w:val="left" w:pos="355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F31E3A">
              <w:rPr>
                <w:rFonts w:eastAsia="Wingdings" w:cs="Arial"/>
                <w:sz w:val="18"/>
                <w:szCs w:val="18"/>
              </w:rPr>
              <w:t>X</w:t>
            </w:r>
            <w:r w:rsidRPr="00F31E3A">
              <w:rPr>
                <w:rFonts w:cs="Arial"/>
                <w:sz w:val="18"/>
                <w:szCs w:val="18"/>
              </w:rPr>
              <w:tab/>
              <w:t>Azione ordinaria</w:t>
            </w:r>
          </w:p>
          <w:p w14:paraId="2528BBAE" w14:textId="77777777" w:rsidR="00E507C2" w:rsidRPr="00F31E3A" w:rsidRDefault="00E507C2" w:rsidP="00BF2563">
            <w:pPr>
              <w:tabs>
                <w:tab w:val="left" w:pos="355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F31E3A">
              <w:rPr>
                <w:rFonts w:eastAsia="Wingdings" w:cs="Arial"/>
                <w:sz w:val="18"/>
                <w:szCs w:val="18"/>
              </w:rPr>
              <w:t></w:t>
            </w:r>
            <w:r w:rsidRPr="00F31E3A">
              <w:rPr>
                <w:rFonts w:cs="Arial"/>
                <w:sz w:val="18"/>
                <w:szCs w:val="18"/>
              </w:rPr>
              <w:tab/>
              <w:t>Azione straordinaria</w:t>
            </w:r>
          </w:p>
        </w:tc>
        <w:tc>
          <w:tcPr>
            <w:tcW w:w="23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6B4D7A2" w14:textId="77777777" w:rsidR="00E507C2" w:rsidRPr="00F31E3A" w:rsidRDefault="00E507C2" w:rsidP="00BF2563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F31E3A">
              <w:rPr>
                <w:rFonts w:eastAsia="Wingdings" w:cs="Arial"/>
                <w:sz w:val="18"/>
                <w:szCs w:val="18"/>
              </w:rPr>
              <w:t>X</w:t>
            </w:r>
            <w:r w:rsidRPr="00F31E3A">
              <w:rPr>
                <w:rFonts w:cs="Arial"/>
                <w:sz w:val="18"/>
                <w:szCs w:val="18"/>
              </w:rPr>
              <w:tab/>
              <w:t>Azione generale</w:t>
            </w:r>
          </w:p>
          <w:p w14:paraId="02C11807" w14:textId="77777777" w:rsidR="00E507C2" w:rsidRPr="00F31E3A" w:rsidRDefault="00E507C2" w:rsidP="00BF2563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F31E3A">
              <w:rPr>
                <w:rFonts w:eastAsia="Wingdings" w:cs="Arial"/>
                <w:sz w:val="18"/>
                <w:szCs w:val="18"/>
              </w:rPr>
              <w:t></w:t>
            </w:r>
            <w:r w:rsidRPr="00F31E3A">
              <w:rPr>
                <w:rFonts w:cs="Arial"/>
                <w:sz w:val="18"/>
                <w:szCs w:val="18"/>
              </w:rPr>
              <w:tab/>
              <w:t>Azione localizzata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38488" w14:textId="77777777" w:rsidR="00E507C2" w:rsidRPr="00F31E3A" w:rsidRDefault="00E507C2" w:rsidP="00BF2563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F31E3A">
              <w:rPr>
                <w:rFonts w:eastAsia="Wingdings" w:cs="Arial"/>
                <w:sz w:val="18"/>
                <w:szCs w:val="18"/>
              </w:rPr>
              <w:t>X</w:t>
            </w:r>
            <w:r w:rsidRPr="00F31E3A">
              <w:rPr>
                <w:rFonts w:cs="Arial"/>
                <w:sz w:val="18"/>
                <w:szCs w:val="18"/>
              </w:rPr>
              <w:tab/>
              <w:t>Azione materiale</w:t>
            </w:r>
          </w:p>
          <w:p w14:paraId="1BC033E5" w14:textId="77777777" w:rsidR="00E507C2" w:rsidRPr="00F31E3A" w:rsidRDefault="00E507C2" w:rsidP="00BF2563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31E3A">
              <w:rPr>
                <w:rFonts w:eastAsia="Wingdings" w:cs="Arial"/>
                <w:sz w:val="18"/>
                <w:szCs w:val="18"/>
              </w:rPr>
              <w:t></w:t>
            </w:r>
            <w:r w:rsidRPr="00F31E3A">
              <w:rPr>
                <w:rFonts w:cs="Arial"/>
                <w:sz w:val="18"/>
                <w:szCs w:val="18"/>
              </w:rPr>
              <w:tab/>
              <w:t>Azione immateriale</w:t>
            </w:r>
          </w:p>
        </w:tc>
      </w:tr>
      <w:tr w:rsidR="00E507C2" w:rsidRPr="00F31E3A" w14:paraId="01F8A9E8" w14:textId="77777777" w:rsidTr="00BF2563">
        <w:trPr>
          <w:cantSplit/>
          <w:trHeight w:val="284"/>
        </w:trPr>
        <w:tc>
          <w:tcPr>
            <w:tcW w:w="208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1C45DC" w14:textId="77777777" w:rsidR="00E507C2" w:rsidRPr="00F31E3A" w:rsidRDefault="00E507C2" w:rsidP="00BF2563">
            <w:pPr>
              <w:spacing w:after="0" w:line="240" w:lineRule="auto"/>
              <w:ind w:firstLine="0"/>
              <w:jc w:val="center"/>
              <w:rPr>
                <w:rFonts w:eastAsia="Wingdings" w:cs="Arial"/>
                <w:sz w:val="18"/>
                <w:szCs w:val="18"/>
              </w:rPr>
            </w:pPr>
            <w:r w:rsidRPr="00F31E3A">
              <w:rPr>
                <w:rFonts w:cs="Arial"/>
                <w:b/>
                <w:sz w:val="18"/>
                <w:szCs w:val="18"/>
              </w:rPr>
              <w:t>Tipo azione</w:t>
            </w:r>
          </w:p>
        </w:tc>
        <w:tc>
          <w:tcPr>
            <w:tcW w:w="7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0C8D5" w14:textId="77777777" w:rsidR="00E507C2" w:rsidRPr="00F31E3A" w:rsidRDefault="00E507C2" w:rsidP="00BF2563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F31E3A">
              <w:rPr>
                <w:rFonts w:eastAsia="Wingdings" w:cs="Arial"/>
                <w:sz w:val="18"/>
                <w:szCs w:val="18"/>
              </w:rPr>
              <w:t></w:t>
            </w:r>
            <w:r w:rsidRPr="00F31E3A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F31E3A">
              <w:rPr>
                <w:rFonts w:cs="Arial"/>
                <w:sz w:val="18"/>
                <w:szCs w:val="18"/>
              </w:rPr>
              <w:t>intervento attivo (</w:t>
            </w:r>
            <w:r w:rsidRPr="00F31E3A">
              <w:rPr>
                <w:rFonts w:cs="Arial"/>
                <w:b/>
                <w:sz w:val="18"/>
                <w:szCs w:val="18"/>
              </w:rPr>
              <w:t>IA)</w:t>
            </w:r>
          </w:p>
          <w:p w14:paraId="1A159143" w14:textId="77777777" w:rsidR="00E507C2" w:rsidRPr="00F31E3A" w:rsidRDefault="00E507C2" w:rsidP="00BF2563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F31E3A">
              <w:rPr>
                <w:rFonts w:eastAsia="Wingdings" w:cs="Arial"/>
                <w:sz w:val="18"/>
                <w:szCs w:val="18"/>
              </w:rPr>
              <w:t>X</w:t>
            </w:r>
            <w:r w:rsidRPr="00F31E3A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F31E3A">
              <w:rPr>
                <w:rFonts w:cs="Arial"/>
                <w:sz w:val="18"/>
                <w:szCs w:val="18"/>
              </w:rPr>
              <w:t>regolamentazione (</w:t>
            </w:r>
            <w:r w:rsidRPr="00F31E3A">
              <w:rPr>
                <w:rFonts w:cs="Arial"/>
                <w:b/>
                <w:sz w:val="18"/>
                <w:szCs w:val="18"/>
              </w:rPr>
              <w:t>RE)</w:t>
            </w:r>
          </w:p>
          <w:p w14:paraId="487270CF" w14:textId="77777777" w:rsidR="00E507C2" w:rsidRPr="00F31E3A" w:rsidRDefault="00E507C2" w:rsidP="00BF2563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F31E3A">
              <w:rPr>
                <w:rFonts w:eastAsia="Wingdings" w:cs="Arial"/>
                <w:sz w:val="18"/>
                <w:szCs w:val="18"/>
              </w:rPr>
              <w:t></w:t>
            </w:r>
            <w:r w:rsidRPr="00F31E3A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F31E3A">
              <w:rPr>
                <w:rFonts w:cs="Arial"/>
                <w:sz w:val="18"/>
                <w:szCs w:val="18"/>
              </w:rPr>
              <w:t>incentivazione (</w:t>
            </w:r>
            <w:r w:rsidRPr="00F31E3A">
              <w:rPr>
                <w:rFonts w:cs="Arial"/>
                <w:b/>
                <w:sz w:val="18"/>
                <w:szCs w:val="18"/>
              </w:rPr>
              <w:t>IN)</w:t>
            </w:r>
          </w:p>
          <w:p w14:paraId="695E9B40" w14:textId="77777777" w:rsidR="00E507C2" w:rsidRPr="00F31E3A" w:rsidRDefault="00E507C2" w:rsidP="00BF2563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F31E3A">
              <w:rPr>
                <w:rFonts w:eastAsia="Wingdings" w:cs="Arial"/>
                <w:sz w:val="18"/>
                <w:szCs w:val="18"/>
              </w:rPr>
              <w:t></w:t>
            </w:r>
            <w:r w:rsidRPr="00F31E3A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F31E3A">
              <w:rPr>
                <w:rFonts w:cs="Arial"/>
                <w:sz w:val="18"/>
                <w:szCs w:val="18"/>
              </w:rPr>
              <w:t>programma di monitoraggio e/o ricerca (</w:t>
            </w:r>
            <w:r w:rsidRPr="00F31E3A">
              <w:rPr>
                <w:rFonts w:cs="Arial"/>
                <w:b/>
                <w:sz w:val="18"/>
                <w:szCs w:val="18"/>
              </w:rPr>
              <w:t>MR)</w:t>
            </w:r>
          </w:p>
          <w:p w14:paraId="6D76CF39" w14:textId="77777777" w:rsidR="00E507C2" w:rsidRPr="00F31E3A" w:rsidRDefault="00E507C2" w:rsidP="00BF2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31E3A">
              <w:rPr>
                <w:rFonts w:eastAsia="Wingdings" w:cs="Arial"/>
                <w:sz w:val="18"/>
                <w:szCs w:val="18"/>
              </w:rPr>
              <w:t></w:t>
            </w:r>
            <w:r w:rsidRPr="00F31E3A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F31E3A">
              <w:rPr>
                <w:rFonts w:cs="Arial"/>
                <w:sz w:val="18"/>
                <w:szCs w:val="18"/>
              </w:rPr>
              <w:t>programma di educazione e di informazione (</w:t>
            </w:r>
            <w:r w:rsidRPr="00F31E3A">
              <w:rPr>
                <w:rFonts w:cs="Arial"/>
                <w:b/>
                <w:sz w:val="18"/>
                <w:szCs w:val="18"/>
              </w:rPr>
              <w:t>PD)</w:t>
            </w:r>
          </w:p>
        </w:tc>
      </w:tr>
      <w:tr w:rsidR="00E507C2" w:rsidRPr="00F31E3A" w14:paraId="7421F1B1" w14:textId="77777777" w:rsidTr="00BF2563">
        <w:tblPrEx>
          <w:tblCellMar>
            <w:left w:w="0" w:type="dxa"/>
            <w:right w:w="0" w:type="dxa"/>
          </w:tblCellMar>
        </w:tblPrEx>
        <w:trPr>
          <w:cantSplit/>
          <w:trHeight w:val="284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AE7D9" w14:textId="77777777" w:rsidR="00E507C2" w:rsidRPr="00F31E3A" w:rsidRDefault="00E507C2" w:rsidP="00BF2563">
            <w:pPr>
              <w:snapToGrid w:val="0"/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31E3A">
              <w:rPr>
                <w:rFonts w:cs="Arial"/>
                <w:b/>
                <w:sz w:val="18"/>
                <w:szCs w:val="18"/>
              </w:rPr>
              <w:t>Habitat /Specie Target</w:t>
            </w:r>
          </w:p>
        </w:tc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D3D03" w14:textId="77777777" w:rsidR="00E507C2" w:rsidRPr="00F31E3A" w:rsidRDefault="00E507C2" w:rsidP="00BF2563">
            <w:pPr>
              <w:snapToGrid w:val="0"/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31E3A">
              <w:rPr>
                <w:rFonts w:eastAsia="Wingdings" w:cs="Arial"/>
                <w:b/>
                <w:sz w:val="18"/>
                <w:szCs w:val="18"/>
              </w:rPr>
              <w:t>Habitat</w:t>
            </w:r>
          </w:p>
        </w:tc>
        <w:tc>
          <w:tcPr>
            <w:tcW w:w="4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A6A04" w14:textId="77777777" w:rsidR="00E507C2" w:rsidRPr="00F31E3A" w:rsidRDefault="00E507C2" w:rsidP="00BF2563">
            <w:pPr>
              <w:snapToGrid w:val="0"/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31E3A">
              <w:rPr>
                <w:rFonts w:eastAsia="Wingdings" w:cs="Arial"/>
                <w:b/>
                <w:sz w:val="18"/>
                <w:szCs w:val="18"/>
              </w:rPr>
              <w:t>Specie</w:t>
            </w:r>
          </w:p>
        </w:tc>
      </w:tr>
      <w:tr w:rsidR="00E507C2" w:rsidRPr="00205F81" w14:paraId="0F033000" w14:textId="77777777" w:rsidTr="00BF2563">
        <w:tblPrEx>
          <w:tblCellMar>
            <w:left w:w="0" w:type="dxa"/>
            <w:right w:w="0" w:type="dxa"/>
          </w:tblCellMar>
        </w:tblPrEx>
        <w:trPr>
          <w:cantSplit/>
          <w:trHeight w:val="284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21620" w14:textId="77777777" w:rsidR="00E507C2" w:rsidRPr="00F31E3A" w:rsidRDefault="00E507C2" w:rsidP="00BF2563">
            <w:pPr>
              <w:snapToGrid w:val="0"/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7A928" w14:textId="77777777" w:rsidR="00E507C2" w:rsidRPr="00F31E3A" w:rsidRDefault="00E507C2" w:rsidP="00BF2563">
            <w:pPr>
              <w:snapToGrid w:val="0"/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15413" w14:textId="0BB0C504" w:rsidR="00E507C2" w:rsidRPr="00205F81" w:rsidRDefault="00E507C2" w:rsidP="00BF2563">
            <w:pPr>
              <w:snapToGrid w:val="0"/>
              <w:spacing w:after="0" w:line="240" w:lineRule="auto"/>
              <w:ind w:firstLine="0"/>
              <w:rPr>
                <w:rFonts w:cs="Arial"/>
                <w:i/>
                <w:iCs/>
                <w:sz w:val="18"/>
                <w:szCs w:val="18"/>
              </w:rPr>
            </w:pPr>
            <w:r w:rsidRPr="00E507C2">
              <w:rPr>
                <w:rFonts w:cs="Arial"/>
                <w:i/>
                <w:iCs/>
                <w:sz w:val="18"/>
                <w:szCs w:val="18"/>
              </w:rPr>
              <w:t>Accipiter nisus</w:t>
            </w:r>
            <w:r>
              <w:rPr>
                <w:rFonts w:cs="Arial"/>
                <w:i/>
                <w:iCs/>
                <w:sz w:val="18"/>
                <w:szCs w:val="18"/>
              </w:rPr>
              <w:t xml:space="preserve">, </w:t>
            </w:r>
            <w:r w:rsidRPr="00E507C2">
              <w:rPr>
                <w:rFonts w:cs="Arial"/>
                <w:i/>
                <w:iCs/>
                <w:sz w:val="18"/>
                <w:szCs w:val="18"/>
              </w:rPr>
              <w:t>Asio flammeus</w:t>
            </w:r>
            <w:r>
              <w:rPr>
                <w:rFonts w:cs="Arial"/>
                <w:i/>
                <w:iCs/>
                <w:sz w:val="18"/>
                <w:szCs w:val="18"/>
              </w:rPr>
              <w:t xml:space="preserve">, </w:t>
            </w:r>
            <w:r w:rsidRPr="00E507C2">
              <w:rPr>
                <w:rFonts w:cs="Arial"/>
                <w:i/>
                <w:iCs/>
                <w:sz w:val="18"/>
                <w:szCs w:val="18"/>
              </w:rPr>
              <w:t>Buteo buteo</w:t>
            </w:r>
            <w:r>
              <w:rPr>
                <w:rFonts w:cs="Arial"/>
                <w:i/>
                <w:iCs/>
                <w:sz w:val="18"/>
                <w:szCs w:val="18"/>
              </w:rPr>
              <w:t xml:space="preserve">, </w:t>
            </w:r>
            <w:r w:rsidRPr="00E507C2">
              <w:rPr>
                <w:rFonts w:cs="Arial"/>
                <w:i/>
                <w:iCs/>
                <w:sz w:val="18"/>
                <w:szCs w:val="18"/>
              </w:rPr>
              <w:t>Ciconia ciconia</w:t>
            </w:r>
            <w:r>
              <w:rPr>
                <w:rFonts w:cs="Arial"/>
                <w:i/>
                <w:iCs/>
                <w:sz w:val="18"/>
                <w:szCs w:val="18"/>
              </w:rPr>
              <w:t xml:space="preserve">, </w:t>
            </w:r>
            <w:r w:rsidRPr="00E507C2">
              <w:rPr>
                <w:rFonts w:cs="Arial"/>
                <w:i/>
                <w:iCs/>
                <w:sz w:val="18"/>
                <w:szCs w:val="18"/>
              </w:rPr>
              <w:t>Ciconia nigra</w:t>
            </w:r>
            <w:r>
              <w:rPr>
                <w:rFonts w:cs="Arial"/>
                <w:i/>
                <w:iCs/>
                <w:sz w:val="18"/>
                <w:szCs w:val="18"/>
              </w:rPr>
              <w:t xml:space="preserve">, </w:t>
            </w:r>
            <w:r w:rsidRPr="00E507C2">
              <w:rPr>
                <w:rFonts w:cs="Arial"/>
                <w:i/>
                <w:iCs/>
                <w:sz w:val="18"/>
                <w:szCs w:val="18"/>
              </w:rPr>
              <w:t>Circaetus gallicus</w:t>
            </w:r>
            <w:r>
              <w:rPr>
                <w:rFonts w:cs="Arial"/>
                <w:i/>
                <w:iCs/>
                <w:sz w:val="18"/>
                <w:szCs w:val="18"/>
              </w:rPr>
              <w:t xml:space="preserve">, </w:t>
            </w:r>
            <w:r w:rsidRPr="00E507C2">
              <w:rPr>
                <w:rFonts w:cs="Arial"/>
                <w:i/>
                <w:iCs/>
                <w:sz w:val="18"/>
                <w:szCs w:val="18"/>
              </w:rPr>
              <w:t>Circus aeruginosus</w:t>
            </w:r>
            <w:r>
              <w:rPr>
                <w:rFonts w:cs="Arial"/>
                <w:i/>
                <w:iCs/>
                <w:sz w:val="18"/>
                <w:szCs w:val="18"/>
              </w:rPr>
              <w:t xml:space="preserve">, </w:t>
            </w:r>
            <w:r w:rsidRPr="00E507C2">
              <w:rPr>
                <w:rFonts w:cs="Arial"/>
                <w:i/>
                <w:iCs/>
                <w:sz w:val="18"/>
                <w:szCs w:val="18"/>
              </w:rPr>
              <w:t>Circus cyaneus</w:t>
            </w:r>
            <w:r>
              <w:rPr>
                <w:rFonts w:cs="Arial"/>
                <w:i/>
                <w:iCs/>
                <w:sz w:val="18"/>
                <w:szCs w:val="18"/>
              </w:rPr>
              <w:t xml:space="preserve">, </w:t>
            </w:r>
            <w:r w:rsidRPr="00E507C2">
              <w:rPr>
                <w:rFonts w:cs="Arial"/>
                <w:i/>
                <w:iCs/>
                <w:sz w:val="18"/>
                <w:szCs w:val="18"/>
              </w:rPr>
              <w:t>Circus macrourus</w:t>
            </w:r>
            <w:r>
              <w:rPr>
                <w:rFonts w:cs="Arial"/>
                <w:i/>
                <w:iCs/>
                <w:sz w:val="18"/>
                <w:szCs w:val="18"/>
              </w:rPr>
              <w:t xml:space="preserve">, </w:t>
            </w:r>
            <w:r w:rsidRPr="00E507C2">
              <w:rPr>
                <w:rFonts w:cs="Arial"/>
                <w:i/>
                <w:iCs/>
                <w:sz w:val="18"/>
                <w:szCs w:val="18"/>
              </w:rPr>
              <w:t>Circus pygargus</w:t>
            </w:r>
            <w:r>
              <w:rPr>
                <w:rFonts w:cs="Arial"/>
                <w:i/>
                <w:iCs/>
                <w:sz w:val="18"/>
                <w:szCs w:val="18"/>
              </w:rPr>
              <w:t xml:space="preserve">, </w:t>
            </w:r>
            <w:r w:rsidRPr="00E507C2">
              <w:rPr>
                <w:rFonts w:cs="Arial"/>
                <w:i/>
                <w:iCs/>
                <w:sz w:val="18"/>
                <w:szCs w:val="18"/>
              </w:rPr>
              <w:t>Crex crex</w:t>
            </w:r>
            <w:r>
              <w:rPr>
                <w:rFonts w:cs="Arial"/>
                <w:i/>
                <w:iCs/>
                <w:sz w:val="18"/>
                <w:szCs w:val="18"/>
              </w:rPr>
              <w:t xml:space="preserve">, </w:t>
            </w:r>
            <w:r w:rsidRPr="00E507C2">
              <w:rPr>
                <w:rFonts w:cs="Arial"/>
                <w:i/>
                <w:iCs/>
                <w:sz w:val="18"/>
                <w:szCs w:val="18"/>
              </w:rPr>
              <w:t>Egretta garzetta</w:t>
            </w:r>
            <w:r>
              <w:rPr>
                <w:rFonts w:cs="Arial"/>
                <w:i/>
                <w:iCs/>
                <w:sz w:val="18"/>
                <w:szCs w:val="18"/>
              </w:rPr>
              <w:t xml:space="preserve">, </w:t>
            </w:r>
            <w:r w:rsidRPr="00E507C2">
              <w:rPr>
                <w:rFonts w:cs="Arial"/>
                <w:i/>
                <w:iCs/>
                <w:sz w:val="18"/>
                <w:szCs w:val="18"/>
              </w:rPr>
              <w:t>Falco biarmicus</w:t>
            </w:r>
            <w:r>
              <w:rPr>
                <w:rFonts w:cs="Arial"/>
                <w:i/>
                <w:iCs/>
                <w:sz w:val="18"/>
                <w:szCs w:val="18"/>
              </w:rPr>
              <w:t xml:space="preserve">, </w:t>
            </w:r>
            <w:r w:rsidRPr="00E507C2">
              <w:rPr>
                <w:rFonts w:cs="Arial"/>
                <w:i/>
                <w:iCs/>
                <w:sz w:val="18"/>
                <w:szCs w:val="18"/>
              </w:rPr>
              <w:t>Falco columbarius</w:t>
            </w:r>
            <w:r>
              <w:rPr>
                <w:rFonts w:cs="Arial"/>
                <w:i/>
                <w:iCs/>
                <w:sz w:val="18"/>
                <w:szCs w:val="18"/>
              </w:rPr>
              <w:t xml:space="preserve">, </w:t>
            </w:r>
            <w:r w:rsidRPr="00E507C2">
              <w:rPr>
                <w:rFonts w:cs="Arial"/>
                <w:i/>
                <w:iCs/>
                <w:sz w:val="18"/>
                <w:szCs w:val="18"/>
              </w:rPr>
              <w:t>Falco naumanni</w:t>
            </w:r>
            <w:r>
              <w:rPr>
                <w:rFonts w:cs="Arial"/>
                <w:i/>
                <w:iCs/>
                <w:sz w:val="18"/>
                <w:szCs w:val="18"/>
              </w:rPr>
              <w:t xml:space="preserve">, </w:t>
            </w:r>
            <w:r w:rsidRPr="00E507C2">
              <w:rPr>
                <w:rFonts w:cs="Arial"/>
                <w:i/>
                <w:iCs/>
                <w:sz w:val="18"/>
                <w:szCs w:val="18"/>
              </w:rPr>
              <w:t>Falco peregrinus</w:t>
            </w:r>
            <w:r>
              <w:rPr>
                <w:rFonts w:cs="Arial"/>
                <w:i/>
                <w:iCs/>
                <w:sz w:val="18"/>
                <w:szCs w:val="18"/>
              </w:rPr>
              <w:t xml:space="preserve">, </w:t>
            </w:r>
            <w:r w:rsidRPr="00E507C2">
              <w:rPr>
                <w:rFonts w:cs="Arial"/>
                <w:i/>
                <w:iCs/>
                <w:sz w:val="18"/>
                <w:szCs w:val="18"/>
              </w:rPr>
              <w:t>Falco subbuteo</w:t>
            </w:r>
            <w:r>
              <w:rPr>
                <w:rFonts w:cs="Arial"/>
                <w:i/>
                <w:iCs/>
                <w:sz w:val="18"/>
                <w:szCs w:val="18"/>
              </w:rPr>
              <w:t xml:space="preserve">, </w:t>
            </w:r>
            <w:r w:rsidRPr="00E507C2">
              <w:rPr>
                <w:rFonts w:cs="Arial"/>
                <w:i/>
                <w:iCs/>
                <w:sz w:val="18"/>
                <w:szCs w:val="18"/>
              </w:rPr>
              <w:t>Falco tinnunculus</w:t>
            </w:r>
            <w:r>
              <w:rPr>
                <w:rFonts w:cs="Arial"/>
                <w:i/>
                <w:iCs/>
                <w:sz w:val="18"/>
                <w:szCs w:val="18"/>
              </w:rPr>
              <w:t xml:space="preserve">, </w:t>
            </w:r>
            <w:r w:rsidRPr="00E507C2">
              <w:rPr>
                <w:rFonts w:cs="Arial"/>
                <w:i/>
                <w:iCs/>
                <w:sz w:val="18"/>
                <w:szCs w:val="18"/>
              </w:rPr>
              <w:t>Falco vespertinus</w:t>
            </w:r>
            <w:r>
              <w:rPr>
                <w:rFonts w:cs="Arial"/>
                <w:i/>
                <w:iCs/>
                <w:sz w:val="18"/>
                <w:szCs w:val="18"/>
              </w:rPr>
              <w:t xml:space="preserve">, </w:t>
            </w:r>
            <w:r w:rsidRPr="00E507C2">
              <w:rPr>
                <w:rFonts w:cs="Arial"/>
                <w:i/>
                <w:iCs/>
                <w:sz w:val="18"/>
                <w:szCs w:val="18"/>
              </w:rPr>
              <w:t>Milvus migrans</w:t>
            </w:r>
            <w:r>
              <w:rPr>
                <w:rFonts w:cs="Arial"/>
                <w:i/>
                <w:iCs/>
                <w:sz w:val="18"/>
                <w:szCs w:val="18"/>
              </w:rPr>
              <w:t xml:space="preserve">, </w:t>
            </w:r>
            <w:r w:rsidRPr="00E507C2">
              <w:rPr>
                <w:rFonts w:cs="Arial"/>
                <w:i/>
                <w:iCs/>
                <w:sz w:val="18"/>
                <w:szCs w:val="18"/>
              </w:rPr>
              <w:t>Milvus milvus</w:t>
            </w:r>
            <w:r>
              <w:rPr>
                <w:rFonts w:cs="Arial"/>
                <w:i/>
                <w:iCs/>
                <w:sz w:val="18"/>
                <w:szCs w:val="18"/>
              </w:rPr>
              <w:t xml:space="preserve">, </w:t>
            </w:r>
            <w:r w:rsidRPr="00E507C2">
              <w:rPr>
                <w:rFonts w:cs="Arial"/>
                <w:i/>
                <w:iCs/>
                <w:sz w:val="18"/>
                <w:szCs w:val="18"/>
              </w:rPr>
              <w:t>Pernis apivorus</w:t>
            </w:r>
          </w:p>
        </w:tc>
      </w:tr>
      <w:tr w:rsidR="00E507C2" w:rsidRPr="00F31E3A" w14:paraId="01C78B11" w14:textId="77777777" w:rsidTr="00BF2563">
        <w:trPr>
          <w:cantSplit/>
          <w:trHeight w:val="284"/>
        </w:trPr>
        <w:tc>
          <w:tcPr>
            <w:tcW w:w="2081" w:type="dxa"/>
            <w:tcBorders>
              <w:top w:val="single" w:sz="6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8553457" w14:textId="77777777" w:rsidR="00E507C2" w:rsidRPr="00F31E3A" w:rsidRDefault="00E507C2" w:rsidP="00BF2563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F31E3A">
              <w:rPr>
                <w:rFonts w:cs="Arial"/>
                <w:b/>
                <w:sz w:val="18"/>
                <w:szCs w:val="18"/>
              </w:rPr>
              <w:t>Pressione/Minaccia</w:t>
            </w:r>
          </w:p>
        </w:tc>
        <w:tc>
          <w:tcPr>
            <w:tcW w:w="7547" w:type="dxa"/>
            <w:gridSpan w:val="4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C593E5" w14:textId="77777777" w:rsidR="00E507C2" w:rsidRPr="00F31E3A" w:rsidRDefault="00E507C2" w:rsidP="00BF2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31E3A">
              <w:rPr>
                <w:rFonts w:cs="Arial"/>
                <w:sz w:val="18"/>
                <w:szCs w:val="18"/>
              </w:rPr>
              <w:t>PD06</w:t>
            </w:r>
          </w:p>
        </w:tc>
      </w:tr>
      <w:tr w:rsidR="00E507C2" w:rsidRPr="00F31E3A" w14:paraId="530849E7" w14:textId="77777777" w:rsidTr="00BF2563">
        <w:trPr>
          <w:cantSplit/>
          <w:trHeight w:val="284"/>
        </w:trPr>
        <w:tc>
          <w:tcPr>
            <w:tcW w:w="2081" w:type="dxa"/>
            <w:tcBorders>
              <w:top w:val="single" w:sz="6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F2EBA9B" w14:textId="77777777" w:rsidR="00E507C2" w:rsidRPr="00F31E3A" w:rsidRDefault="00E507C2" w:rsidP="00BF2563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F31E3A">
              <w:rPr>
                <w:rFonts w:cs="Arial"/>
                <w:b/>
                <w:sz w:val="18"/>
                <w:szCs w:val="18"/>
              </w:rPr>
              <w:t>Localizzazione ed eventuale stralcio cartografico</w:t>
            </w:r>
          </w:p>
        </w:tc>
        <w:tc>
          <w:tcPr>
            <w:tcW w:w="7547" w:type="dxa"/>
            <w:gridSpan w:val="4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B9A554" w14:textId="77777777" w:rsidR="00E507C2" w:rsidRPr="00F31E3A" w:rsidRDefault="00E507C2" w:rsidP="00BF2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31E3A">
              <w:rPr>
                <w:rFonts w:cs="Arial"/>
                <w:sz w:val="18"/>
                <w:szCs w:val="18"/>
              </w:rPr>
              <w:t>Tutto il sito</w:t>
            </w:r>
          </w:p>
        </w:tc>
      </w:tr>
      <w:tr w:rsidR="00E507C2" w:rsidRPr="00F31E3A" w14:paraId="7B192AE9" w14:textId="77777777" w:rsidTr="00BF2563">
        <w:trPr>
          <w:cantSplit/>
          <w:trHeight w:val="284"/>
        </w:trPr>
        <w:tc>
          <w:tcPr>
            <w:tcW w:w="20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007FA37" w14:textId="77777777" w:rsidR="00E507C2" w:rsidRPr="00F31E3A" w:rsidRDefault="00E507C2" w:rsidP="00BF2563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F31E3A">
              <w:rPr>
                <w:rFonts w:cs="Arial"/>
                <w:b/>
                <w:sz w:val="18"/>
                <w:szCs w:val="18"/>
              </w:rPr>
              <w:t>Descrizione dello stato attuale e contestualizzazione dell’azione nel Piano di gestione</w:t>
            </w:r>
          </w:p>
        </w:tc>
        <w:tc>
          <w:tcPr>
            <w:tcW w:w="7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16B48C" w14:textId="25603065" w:rsidR="00E507C2" w:rsidRPr="00F31E3A" w:rsidRDefault="00E507C2" w:rsidP="00BF2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76D46">
              <w:rPr>
                <w:rFonts w:cs="Arial"/>
                <w:sz w:val="18"/>
                <w:szCs w:val="18"/>
              </w:rPr>
              <w:t xml:space="preserve">Nella ZPS sono presenti </w:t>
            </w:r>
            <w:r w:rsidR="00112428">
              <w:rPr>
                <w:rFonts w:cs="Arial"/>
                <w:sz w:val="18"/>
                <w:szCs w:val="18"/>
              </w:rPr>
              <w:t xml:space="preserve">diverse </w:t>
            </w:r>
            <w:r w:rsidRPr="00F76D46">
              <w:rPr>
                <w:rFonts w:cs="Arial"/>
                <w:sz w:val="18"/>
                <w:szCs w:val="18"/>
              </w:rPr>
              <w:t xml:space="preserve">linee elettriche </w:t>
            </w:r>
            <w:r w:rsidR="00770B01">
              <w:rPr>
                <w:rFonts w:cs="Arial"/>
                <w:sz w:val="18"/>
                <w:szCs w:val="18"/>
              </w:rPr>
              <w:t>in cavo nudo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F76D46">
              <w:rPr>
                <w:rFonts w:cs="Arial"/>
                <w:sz w:val="18"/>
                <w:szCs w:val="18"/>
              </w:rPr>
              <w:t xml:space="preserve">che </w:t>
            </w:r>
            <w:r w:rsidR="00DD25DE">
              <w:rPr>
                <w:rFonts w:cs="Arial"/>
                <w:sz w:val="18"/>
                <w:szCs w:val="18"/>
              </w:rPr>
              <w:t xml:space="preserve">possono </w:t>
            </w:r>
            <w:r w:rsidR="00112428">
              <w:rPr>
                <w:rFonts w:cs="Arial"/>
                <w:sz w:val="18"/>
                <w:szCs w:val="18"/>
              </w:rPr>
              <w:t>determina</w:t>
            </w:r>
            <w:r w:rsidR="00DD25DE">
              <w:rPr>
                <w:rFonts w:cs="Arial"/>
                <w:sz w:val="18"/>
                <w:szCs w:val="18"/>
              </w:rPr>
              <w:t>re</w:t>
            </w:r>
            <w:r>
              <w:rPr>
                <w:rFonts w:cs="Arial"/>
                <w:sz w:val="18"/>
                <w:szCs w:val="18"/>
              </w:rPr>
              <w:t xml:space="preserve"> una </w:t>
            </w:r>
            <w:r w:rsidR="00112428">
              <w:rPr>
                <w:rFonts w:cs="Arial"/>
                <w:sz w:val="18"/>
                <w:szCs w:val="18"/>
              </w:rPr>
              <w:t>pressione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F76D46">
              <w:rPr>
                <w:rFonts w:cs="Arial"/>
                <w:sz w:val="18"/>
                <w:szCs w:val="18"/>
              </w:rPr>
              <w:t xml:space="preserve">per le specie di avifauna sia nidificante, </w:t>
            </w:r>
            <w:r w:rsidR="003903C0">
              <w:rPr>
                <w:rFonts w:cs="Arial"/>
                <w:sz w:val="18"/>
                <w:szCs w:val="18"/>
              </w:rPr>
              <w:t xml:space="preserve">sia </w:t>
            </w:r>
            <w:r w:rsidRPr="00F76D46">
              <w:rPr>
                <w:rFonts w:cs="Arial"/>
                <w:sz w:val="18"/>
                <w:szCs w:val="18"/>
              </w:rPr>
              <w:t>svernante che in migrazione a causa del rischio di collisione ed elettrocuzione</w:t>
            </w:r>
            <w:r w:rsidRPr="00F31E3A">
              <w:rPr>
                <w:rFonts w:cs="Arial"/>
                <w:sz w:val="18"/>
                <w:szCs w:val="18"/>
              </w:rPr>
              <w:t>.</w:t>
            </w:r>
            <w:r w:rsidR="00DD25DE">
              <w:rPr>
                <w:rFonts w:cs="Arial"/>
                <w:sz w:val="18"/>
                <w:szCs w:val="18"/>
              </w:rPr>
              <w:t xml:space="preserve"> Non si è in possesso di dati raccolti in maniera sistematica relativamente al fenomeno di </w:t>
            </w:r>
            <w:r w:rsidR="00BD186E">
              <w:rPr>
                <w:rFonts w:cs="Arial"/>
                <w:sz w:val="18"/>
                <w:szCs w:val="18"/>
              </w:rPr>
              <w:t>collisione</w:t>
            </w:r>
            <w:r w:rsidR="00DD25DE">
              <w:rPr>
                <w:rFonts w:cs="Arial"/>
                <w:sz w:val="18"/>
                <w:szCs w:val="18"/>
              </w:rPr>
              <w:t xml:space="preserve"> ed elettrocuzione ma alcuni dati raccolti occasionalmente fanno pensare che possa sussistere la problematica.</w:t>
            </w:r>
          </w:p>
        </w:tc>
      </w:tr>
      <w:tr w:rsidR="00E507C2" w:rsidRPr="00F31E3A" w14:paraId="18B5D1E4" w14:textId="77777777" w:rsidTr="00BF2563">
        <w:trPr>
          <w:cantSplit/>
          <w:trHeight w:val="284"/>
        </w:trPr>
        <w:tc>
          <w:tcPr>
            <w:tcW w:w="20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F902223" w14:textId="77777777" w:rsidR="00E507C2" w:rsidRPr="00F31E3A" w:rsidRDefault="00E507C2" w:rsidP="00BF2563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F31E3A">
              <w:rPr>
                <w:rFonts w:cs="Arial"/>
                <w:b/>
                <w:sz w:val="18"/>
                <w:szCs w:val="18"/>
              </w:rPr>
              <w:t>Indicatori di stato</w:t>
            </w:r>
          </w:p>
        </w:tc>
        <w:tc>
          <w:tcPr>
            <w:tcW w:w="7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277A4500" w14:textId="762D5394" w:rsidR="00E507C2" w:rsidRPr="00F31E3A" w:rsidRDefault="00E507C2" w:rsidP="00BF2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31E3A">
              <w:rPr>
                <w:rFonts w:cs="Arial"/>
                <w:sz w:val="18"/>
                <w:szCs w:val="18"/>
              </w:rPr>
              <w:t>Attuazione della misura</w:t>
            </w:r>
            <w:r w:rsidR="003903C0">
              <w:rPr>
                <w:rFonts w:cs="Arial"/>
                <w:sz w:val="18"/>
                <w:szCs w:val="18"/>
              </w:rPr>
              <w:t>.</w:t>
            </w:r>
          </w:p>
        </w:tc>
      </w:tr>
      <w:tr w:rsidR="00E507C2" w:rsidRPr="00F31E3A" w14:paraId="4A237647" w14:textId="77777777" w:rsidTr="00BF2563">
        <w:trPr>
          <w:cantSplit/>
          <w:trHeight w:val="284"/>
        </w:trPr>
        <w:tc>
          <w:tcPr>
            <w:tcW w:w="20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241D6D9" w14:textId="77777777" w:rsidR="00E507C2" w:rsidRPr="00F31E3A" w:rsidRDefault="00E507C2" w:rsidP="00BF2563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F31E3A">
              <w:rPr>
                <w:rFonts w:cs="Arial"/>
                <w:b/>
                <w:sz w:val="18"/>
                <w:szCs w:val="18"/>
              </w:rPr>
              <w:t>Finalità dell’azione</w:t>
            </w:r>
          </w:p>
        </w:tc>
        <w:tc>
          <w:tcPr>
            <w:tcW w:w="7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02DBED18" w14:textId="16671F4D" w:rsidR="00E507C2" w:rsidRPr="00F31E3A" w:rsidRDefault="00E507C2" w:rsidP="00BF2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31E3A">
              <w:rPr>
                <w:rFonts w:cs="Arial"/>
                <w:sz w:val="18"/>
                <w:szCs w:val="18"/>
              </w:rPr>
              <w:t>Ridurre il possibile impatto</w:t>
            </w:r>
            <w:r w:rsidR="00DD25DE">
              <w:rPr>
                <w:rFonts w:cs="Arial"/>
                <w:sz w:val="18"/>
                <w:szCs w:val="18"/>
              </w:rPr>
              <w:t xml:space="preserve"> (collisione ed elettrocuzione)</w:t>
            </w:r>
            <w:r w:rsidRPr="00F31E3A">
              <w:rPr>
                <w:rFonts w:cs="Arial"/>
                <w:sz w:val="18"/>
                <w:szCs w:val="18"/>
              </w:rPr>
              <w:t xml:space="preserve"> delle linee elettriche</w:t>
            </w:r>
            <w:r w:rsidR="008E508E">
              <w:rPr>
                <w:rFonts w:cs="Arial"/>
                <w:sz w:val="18"/>
                <w:szCs w:val="18"/>
              </w:rPr>
              <w:t xml:space="preserve"> aeree</w:t>
            </w:r>
          </w:p>
        </w:tc>
      </w:tr>
      <w:tr w:rsidR="00E507C2" w:rsidRPr="00F31E3A" w14:paraId="79E1D714" w14:textId="77777777" w:rsidTr="00BF2563">
        <w:trPr>
          <w:cantSplit/>
          <w:trHeight w:val="284"/>
        </w:trPr>
        <w:tc>
          <w:tcPr>
            <w:tcW w:w="20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7D635A" w14:textId="77777777" w:rsidR="00E507C2" w:rsidRPr="007B6B78" w:rsidRDefault="00E507C2" w:rsidP="00BF2563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7B6B78">
              <w:rPr>
                <w:rFonts w:cs="Arial"/>
                <w:b/>
                <w:sz w:val="18"/>
                <w:szCs w:val="18"/>
              </w:rPr>
              <w:t>Descrizione dell’azione e programma operativo</w:t>
            </w:r>
          </w:p>
        </w:tc>
        <w:tc>
          <w:tcPr>
            <w:tcW w:w="7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EAD4B" w14:textId="1943CF45" w:rsidR="00E507C2" w:rsidRDefault="00E507C2" w:rsidP="00112428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7B6B78">
              <w:rPr>
                <w:rFonts w:cs="Arial"/>
                <w:sz w:val="18"/>
                <w:szCs w:val="18"/>
              </w:rPr>
              <w:t>Nel sito, oltre a quanto disposto dal</w:t>
            </w:r>
            <w:r w:rsidR="005D233C">
              <w:rPr>
                <w:rFonts w:cs="Arial"/>
                <w:sz w:val="18"/>
                <w:szCs w:val="18"/>
              </w:rPr>
              <w:t xml:space="preserve"> </w:t>
            </w:r>
            <w:r w:rsidR="00BD186E" w:rsidRPr="00BD186E">
              <w:rPr>
                <w:rFonts w:cs="Arial"/>
                <w:sz w:val="18"/>
                <w:szCs w:val="18"/>
              </w:rPr>
              <w:t xml:space="preserve">Regolamento Parco del Conero 3.14 - </w:t>
            </w:r>
            <w:r w:rsidR="00BD186E" w:rsidRPr="003903C0">
              <w:rPr>
                <w:rFonts w:cs="Arial"/>
                <w:i/>
                <w:iCs/>
                <w:sz w:val="18"/>
                <w:szCs w:val="18"/>
              </w:rPr>
              <w:t>Interventi su infrastrutture a rete esistenti e di nuova costruzione</w:t>
            </w:r>
            <w:r w:rsidR="005D233C">
              <w:rPr>
                <w:rFonts w:cs="Arial"/>
                <w:sz w:val="18"/>
                <w:szCs w:val="18"/>
              </w:rPr>
              <w:t xml:space="preserve">, </w:t>
            </w:r>
            <w:r w:rsidRPr="007B6B78">
              <w:rPr>
                <w:rFonts w:cs="Arial"/>
                <w:sz w:val="18"/>
                <w:szCs w:val="18"/>
              </w:rPr>
              <w:t xml:space="preserve">è </w:t>
            </w:r>
            <w:r w:rsidR="00112428" w:rsidRPr="007B6B78">
              <w:rPr>
                <w:rFonts w:cs="Arial"/>
                <w:sz w:val="18"/>
                <w:szCs w:val="18"/>
              </w:rPr>
              <w:t>fatto divieto di realizzare nuove linee elettriche a</w:t>
            </w:r>
            <w:r w:rsidR="00BE4741">
              <w:rPr>
                <w:rFonts w:cs="Arial"/>
                <w:sz w:val="18"/>
                <w:szCs w:val="18"/>
              </w:rPr>
              <w:t>e</w:t>
            </w:r>
            <w:r w:rsidR="00112428" w:rsidRPr="007B6B78">
              <w:rPr>
                <w:rFonts w:cs="Arial"/>
                <w:sz w:val="18"/>
                <w:szCs w:val="18"/>
              </w:rPr>
              <w:t xml:space="preserve">ree per </w:t>
            </w:r>
            <w:r w:rsidR="00A0198E">
              <w:rPr>
                <w:rFonts w:cs="Arial"/>
                <w:sz w:val="18"/>
                <w:szCs w:val="18"/>
              </w:rPr>
              <w:t xml:space="preserve">non incrementare </w:t>
            </w:r>
            <w:r w:rsidR="00112428" w:rsidRPr="007B6B78">
              <w:rPr>
                <w:rFonts w:cs="Arial"/>
                <w:sz w:val="18"/>
                <w:szCs w:val="18"/>
              </w:rPr>
              <w:t>la pressione in atto su</w:t>
            </w:r>
            <w:r w:rsidR="007B6B78">
              <w:rPr>
                <w:rFonts w:cs="Arial"/>
                <w:sz w:val="18"/>
                <w:szCs w:val="18"/>
              </w:rPr>
              <w:t>l</w:t>
            </w:r>
            <w:r w:rsidR="00112428" w:rsidRPr="007B6B78">
              <w:rPr>
                <w:rFonts w:cs="Arial"/>
                <w:sz w:val="18"/>
                <w:szCs w:val="18"/>
              </w:rPr>
              <w:t>le specie target. Qualora sia dimostrato l’impedimento a realizzare linee interrate, è obbligatoria</w:t>
            </w:r>
            <w:r w:rsidR="00A0198E">
              <w:rPr>
                <w:rFonts w:cs="Arial"/>
                <w:sz w:val="18"/>
                <w:szCs w:val="18"/>
              </w:rPr>
              <w:t xml:space="preserve"> </w:t>
            </w:r>
            <w:r w:rsidR="00112428" w:rsidRPr="007B6B78">
              <w:rPr>
                <w:rFonts w:cs="Arial"/>
                <w:sz w:val="18"/>
                <w:szCs w:val="18"/>
              </w:rPr>
              <w:t>la messa in sicu</w:t>
            </w:r>
            <w:r w:rsidRPr="007B6B78">
              <w:rPr>
                <w:rFonts w:cs="Arial"/>
                <w:sz w:val="18"/>
                <w:szCs w:val="18"/>
              </w:rPr>
              <w:t xml:space="preserve">rezza, rispetto al rischio di elettrocuzione </w:t>
            </w:r>
            <w:r w:rsidR="00DD25DE">
              <w:rPr>
                <w:rFonts w:cs="Arial"/>
                <w:sz w:val="18"/>
                <w:szCs w:val="18"/>
              </w:rPr>
              <w:t xml:space="preserve">e collisione </w:t>
            </w:r>
            <w:r w:rsidR="008E508E" w:rsidRPr="007B6B78">
              <w:rPr>
                <w:rFonts w:cs="Arial"/>
                <w:sz w:val="18"/>
                <w:szCs w:val="18"/>
              </w:rPr>
              <w:t>dell’avifauna d</w:t>
            </w:r>
            <w:r w:rsidR="00DD25DE">
              <w:rPr>
                <w:rFonts w:cs="Arial"/>
                <w:sz w:val="18"/>
                <w:szCs w:val="18"/>
              </w:rPr>
              <w:t>egli</w:t>
            </w:r>
            <w:r w:rsidR="008E508E" w:rsidRPr="007B6B78">
              <w:rPr>
                <w:rFonts w:cs="Arial"/>
                <w:sz w:val="18"/>
                <w:szCs w:val="18"/>
              </w:rPr>
              <w:t xml:space="preserve"> </w:t>
            </w:r>
            <w:r w:rsidRPr="007B6B78">
              <w:rPr>
                <w:rFonts w:cs="Arial"/>
                <w:sz w:val="18"/>
                <w:szCs w:val="18"/>
              </w:rPr>
              <w:t>elettrodotti</w:t>
            </w:r>
            <w:r w:rsidR="00DD25DE">
              <w:rPr>
                <w:rFonts w:cs="Arial"/>
                <w:sz w:val="18"/>
                <w:szCs w:val="18"/>
              </w:rPr>
              <w:t xml:space="preserve"> di nuova realizzazione</w:t>
            </w:r>
            <w:r w:rsidR="00BE4741">
              <w:rPr>
                <w:rFonts w:cs="Arial"/>
                <w:sz w:val="18"/>
                <w:szCs w:val="18"/>
              </w:rPr>
              <w:t xml:space="preserve"> e/o oggetto di manutenzione</w:t>
            </w:r>
            <w:r w:rsidR="00112428" w:rsidRPr="007B6B78">
              <w:rPr>
                <w:rFonts w:cs="Arial"/>
                <w:sz w:val="18"/>
                <w:szCs w:val="18"/>
              </w:rPr>
              <w:t xml:space="preserve">. </w:t>
            </w:r>
            <w:r w:rsidR="007B6B78" w:rsidRPr="007B6B78">
              <w:rPr>
                <w:rFonts w:cs="Arial"/>
                <w:sz w:val="18"/>
                <w:szCs w:val="18"/>
              </w:rPr>
              <w:t xml:space="preserve">A </w:t>
            </w:r>
            <w:r w:rsidRPr="007B6B78">
              <w:rPr>
                <w:rFonts w:cs="Arial"/>
                <w:sz w:val="18"/>
                <w:szCs w:val="18"/>
              </w:rPr>
              <w:t>questo scopo dovrà essere redatto un progetto esecutivo che individui per ogni tratto la tecnica, tra quelle disponibili, più idonea al raggiungimento degli obiettivi.</w:t>
            </w:r>
          </w:p>
          <w:p w14:paraId="202C8EDE" w14:textId="727D1BB9" w:rsidR="00DD25DE" w:rsidRDefault="00BE4741" w:rsidP="00112428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</w:t>
            </w:r>
            <w:r w:rsidR="00856C81">
              <w:rPr>
                <w:rFonts w:cs="Arial"/>
                <w:sz w:val="18"/>
                <w:szCs w:val="18"/>
              </w:rPr>
              <w:t>ertanto,</w:t>
            </w:r>
            <w:r w:rsidR="00A0198E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in caso di interventi</w:t>
            </w:r>
            <w:r w:rsidR="00A0198E">
              <w:rPr>
                <w:rFonts w:cs="Arial"/>
                <w:sz w:val="18"/>
                <w:szCs w:val="18"/>
              </w:rPr>
              <w:t xml:space="preserve"> di manutenzione</w:t>
            </w:r>
            <w:r>
              <w:rPr>
                <w:rFonts w:cs="Arial"/>
                <w:sz w:val="18"/>
                <w:szCs w:val="18"/>
              </w:rPr>
              <w:t>,</w:t>
            </w:r>
            <w:r w:rsidR="00A0198E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dovrà essere presentato un progetto e </w:t>
            </w:r>
            <w:r w:rsidR="00A0198E">
              <w:rPr>
                <w:rFonts w:cs="Arial"/>
                <w:sz w:val="18"/>
                <w:szCs w:val="18"/>
              </w:rPr>
              <w:t>gli step da seguire dovranno essere:</w:t>
            </w:r>
          </w:p>
          <w:p w14:paraId="26D4B27D" w14:textId="5590E54D" w:rsidR="00A0198E" w:rsidRDefault="00A0198E" w:rsidP="00A0198E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Verificare la possibilità di interramento</w:t>
            </w:r>
            <w:r w:rsidR="0037470E">
              <w:rPr>
                <w:rFonts w:cs="Arial"/>
                <w:sz w:val="18"/>
                <w:szCs w:val="18"/>
              </w:rPr>
              <w:t>.</w:t>
            </w:r>
          </w:p>
          <w:p w14:paraId="0D6D7599" w14:textId="449D7EAB" w:rsidR="00BE4741" w:rsidRPr="00732D44" w:rsidRDefault="00A0198E" w:rsidP="00BE4741">
            <w:pPr>
              <w:pStyle w:val="Paragrafoelenco"/>
              <w:numPr>
                <w:ilvl w:val="0"/>
                <w:numId w:val="4"/>
              </w:numPr>
              <w:spacing w:after="0" w:line="240" w:lineRule="auto"/>
            </w:pPr>
            <w:r w:rsidRPr="00BE4741">
              <w:rPr>
                <w:rFonts w:cs="Arial"/>
                <w:sz w:val="18"/>
                <w:szCs w:val="18"/>
              </w:rPr>
              <w:t xml:space="preserve">Qualora sia esclusa la possibilità di interramento per motivi di interferenza con habitat comunitari o habitat di specie, </w:t>
            </w:r>
            <w:r w:rsidR="00BE4741" w:rsidRPr="00BE4741">
              <w:rPr>
                <w:rFonts w:cs="Arial"/>
                <w:sz w:val="18"/>
                <w:szCs w:val="18"/>
              </w:rPr>
              <w:t xml:space="preserve">si </w:t>
            </w:r>
            <w:r w:rsidRPr="00BE4741">
              <w:rPr>
                <w:rFonts w:cs="Arial"/>
                <w:sz w:val="18"/>
                <w:szCs w:val="18"/>
              </w:rPr>
              <w:t xml:space="preserve">dovrà procedere a mettere in atto tutti gli accorgimenti necessari per la messa in sicurezza </w:t>
            </w:r>
            <w:r w:rsidR="00BE4741" w:rsidRPr="00BE4741">
              <w:rPr>
                <w:rFonts w:cs="Arial"/>
                <w:sz w:val="18"/>
                <w:szCs w:val="18"/>
              </w:rPr>
              <w:t xml:space="preserve">rispetto al rischio di elettrocuzione </w:t>
            </w:r>
            <w:r w:rsidRPr="00BE4741">
              <w:rPr>
                <w:rFonts w:cs="Arial"/>
                <w:sz w:val="18"/>
                <w:szCs w:val="18"/>
              </w:rPr>
              <w:t>della line</w:t>
            </w:r>
            <w:r w:rsidR="00BE4741" w:rsidRPr="00BE4741">
              <w:rPr>
                <w:rFonts w:cs="Arial"/>
                <w:sz w:val="18"/>
                <w:szCs w:val="18"/>
              </w:rPr>
              <w:t>a</w:t>
            </w:r>
            <w:r w:rsidRPr="00BE4741">
              <w:rPr>
                <w:rFonts w:cs="Arial"/>
                <w:sz w:val="18"/>
                <w:szCs w:val="18"/>
              </w:rPr>
              <w:t xml:space="preserve"> oggetto di manutenzione</w:t>
            </w:r>
            <w:r w:rsidR="00BE4741">
              <w:rPr>
                <w:rFonts w:cs="Arial"/>
                <w:sz w:val="18"/>
                <w:szCs w:val="18"/>
              </w:rPr>
              <w:t xml:space="preserve">, nonché </w:t>
            </w:r>
            <w:r w:rsidR="00732D44">
              <w:rPr>
                <w:rFonts w:cs="Arial"/>
                <w:sz w:val="18"/>
                <w:szCs w:val="18"/>
              </w:rPr>
              <w:t>ridurre, o</w:t>
            </w:r>
            <w:r w:rsidR="00EF751E">
              <w:rPr>
                <w:rFonts w:cs="Arial"/>
                <w:sz w:val="18"/>
                <w:szCs w:val="18"/>
              </w:rPr>
              <w:t>v</w:t>
            </w:r>
            <w:r w:rsidR="00732D44">
              <w:rPr>
                <w:rFonts w:cs="Arial"/>
                <w:sz w:val="18"/>
                <w:szCs w:val="18"/>
              </w:rPr>
              <w:t xml:space="preserve">e possibile, </w:t>
            </w:r>
            <w:r w:rsidR="00EF751E">
              <w:rPr>
                <w:rFonts w:cs="Arial"/>
                <w:sz w:val="18"/>
                <w:szCs w:val="18"/>
              </w:rPr>
              <w:t xml:space="preserve">accorpandole, </w:t>
            </w:r>
            <w:r w:rsidR="00732D44">
              <w:rPr>
                <w:rFonts w:cs="Arial"/>
                <w:sz w:val="18"/>
                <w:szCs w:val="18"/>
              </w:rPr>
              <w:t>il numero e la lunghezza delle linee elettriche esistenti, al fine di ridurre comunque anche il rischio di collisione</w:t>
            </w:r>
            <w:r w:rsidRPr="00BE4741">
              <w:rPr>
                <w:rFonts w:cs="Arial"/>
                <w:sz w:val="18"/>
                <w:szCs w:val="18"/>
              </w:rPr>
              <w:t>.</w:t>
            </w:r>
          </w:p>
          <w:p w14:paraId="238D2C1B" w14:textId="101EC92C" w:rsidR="00732D44" w:rsidRPr="00BE4741" w:rsidRDefault="00732D44" w:rsidP="00EF751E">
            <w:pPr>
              <w:spacing w:after="0" w:line="240" w:lineRule="auto"/>
              <w:ind w:firstLine="0"/>
            </w:pPr>
          </w:p>
        </w:tc>
      </w:tr>
      <w:tr w:rsidR="00E507C2" w:rsidRPr="00F31E3A" w14:paraId="22AD0720" w14:textId="77777777" w:rsidTr="00BF2563">
        <w:trPr>
          <w:cantSplit/>
          <w:trHeight w:val="284"/>
        </w:trPr>
        <w:tc>
          <w:tcPr>
            <w:tcW w:w="20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8052136" w14:textId="77777777" w:rsidR="00E507C2" w:rsidRPr="00F31E3A" w:rsidRDefault="00E507C2" w:rsidP="00BF2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31E3A">
              <w:rPr>
                <w:rFonts w:cs="Arial"/>
                <w:b/>
                <w:sz w:val="18"/>
                <w:szCs w:val="18"/>
              </w:rPr>
              <w:t>Descrizione dei risultati attesi</w:t>
            </w:r>
          </w:p>
        </w:tc>
        <w:tc>
          <w:tcPr>
            <w:tcW w:w="7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7F3B4" w14:textId="77777777" w:rsidR="00E507C2" w:rsidRPr="00F31E3A" w:rsidRDefault="00E507C2" w:rsidP="00BF2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31E3A">
              <w:rPr>
                <w:rFonts w:cs="Arial"/>
                <w:sz w:val="18"/>
                <w:szCs w:val="18"/>
              </w:rPr>
              <w:t>Mantenere o migliorare lo stato di conservazione delle specie target</w:t>
            </w:r>
          </w:p>
        </w:tc>
      </w:tr>
      <w:tr w:rsidR="00E507C2" w:rsidRPr="00F31E3A" w14:paraId="59A9F30C" w14:textId="77777777" w:rsidTr="00BF2563">
        <w:trPr>
          <w:cantSplit/>
          <w:trHeight w:val="284"/>
        </w:trPr>
        <w:tc>
          <w:tcPr>
            <w:tcW w:w="20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2F71C15" w14:textId="77777777" w:rsidR="00E507C2" w:rsidRPr="00F31E3A" w:rsidRDefault="00E507C2" w:rsidP="00BF2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31E3A">
              <w:rPr>
                <w:rFonts w:cs="Arial"/>
                <w:b/>
                <w:sz w:val="18"/>
                <w:szCs w:val="18"/>
              </w:rPr>
              <w:t>Interessi economici coinvolti</w:t>
            </w:r>
          </w:p>
        </w:tc>
        <w:tc>
          <w:tcPr>
            <w:tcW w:w="7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D3A14" w14:textId="0BEF982A" w:rsidR="00E507C2" w:rsidRPr="00F31E3A" w:rsidRDefault="00E507C2" w:rsidP="00BF2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</w:tc>
      </w:tr>
      <w:tr w:rsidR="00E507C2" w:rsidRPr="00F31E3A" w14:paraId="1C0F7E42" w14:textId="77777777" w:rsidTr="00BF2563">
        <w:trPr>
          <w:cantSplit/>
          <w:trHeight w:val="284"/>
        </w:trPr>
        <w:tc>
          <w:tcPr>
            <w:tcW w:w="20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91E49DA" w14:textId="77777777" w:rsidR="00E507C2" w:rsidRPr="00F31E3A" w:rsidRDefault="00E507C2" w:rsidP="00BF2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Soggetti attuatori</w:t>
            </w:r>
          </w:p>
        </w:tc>
        <w:tc>
          <w:tcPr>
            <w:tcW w:w="7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042515" w14:textId="1782CEF2" w:rsidR="00E507C2" w:rsidRPr="00F31E3A" w:rsidRDefault="00E507C2" w:rsidP="00BF2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sz w:val="18"/>
                <w:szCs w:val="18"/>
              </w:rPr>
              <w:t xml:space="preserve">Ente gestore </w:t>
            </w:r>
          </w:p>
        </w:tc>
      </w:tr>
      <w:tr w:rsidR="00E507C2" w:rsidRPr="00F31E3A" w14:paraId="2419D341" w14:textId="77777777" w:rsidTr="00BF2563">
        <w:trPr>
          <w:cantSplit/>
          <w:trHeight w:val="284"/>
        </w:trPr>
        <w:tc>
          <w:tcPr>
            <w:tcW w:w="20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196B6579" w14:textId="77777777" w:rsidR="00E507C2" w:rsidRPr="00F31E3A" w:rsidRDefault="00E507C2" w:rsidP="00BF2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31E3A">
              <w:rPr>
                <w:rFonts w:cs="Arial"/>
                <w:b/>
                <w:sz w:val="18"/>
                <w:szCs w:val="18"/>
              </w:rPr>
              <w:t>Priorità dell’azione</w:t>
            </w:r>
          </w:p>
        </w:tc>
        <w:tc>
          <w:tcPr>
            <w:tcW w:w="7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208EF9" w14:textId="56821EEE" w:rsidR="00E507C2" w:rsidRPr="00F31E3A" w:rsidRDefault="005D233C" w:rsidP="00BF2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Alta</w:t>
            </w:r>
          </w:p>
        </w:tc>
      </w:tr>
      <w:tr w:rsidR="00E507C2" w:rsidRPr="00F31E3A" w14:paraId="79F8A062" w14:textId="77777777" w:rsidTr="00BF2563">
        <w:trPr>
          <w:cantSplit/>
          <w:trHeight w:val="284"/>
        </w:trPr>
        <w:tc>
          <w:tcPr>
            <w:tcW w:w="20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DCA3491" w14:textId="77777777" w:rsidR="00E507C2" w:rsidRPr="00F31E3A" w:rsidRDefault="00E507C2" w:rsidP="00BF2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31E3A">
              <w:rPr>
                <w:rFonts w:cs="Arial"/>
                <w:b/>
                <w:sz w:val="18"/>
                <w:szCs w:val="18"/>
              </w:rPr>
              <w:t>Tempi e stima dei costi</w:t>
            </w:r>
          </w:p>
        </w:tc>
        <w:tc>
          <w:tcPr>
            <w:tcW w:w="7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F4AE3" w14:textId="77777777" w:rsidR="00E507C2" w:rsidRPr="00F31E3A" w:rsidRDefault="00E507C2" w:rsidP="00BF2563">
            <w:pPr>
              <w:tabs>
                <w:tab w:val="left" w:pos="541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31E3A">
              <w:rPr>
                <w:rFonts w:cs="Arial"/>
                <w:sz w:val="18"/>
                <w:szCs w:val="18"/>
              </w:rPr>
              <w:t>Misura regolamentare valida dall’approvazione del Piano di Gestione</w:t>
            </w:r>
          </w:p>
        </w:tc>
      </w:tr>
      <w:tr w:rsidR="00E507C2" w:rsidRPr="00F31E3A" w14:paraId="399276BF" w14:textId="77777777" w:rsidTr="00BF2563">
        <w:trPr>
          <w:cantSplit/>
          <w:trHeight w:val="284"/>
        </w:trPr>
        <w:tc>
          <w:tcPr>
            <w:tcW w:w="20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22DB91A" w14:textId="77777777" w:rsidR="00E507C2" w:rsidRPr="00F31E3A" w:rsidRDefault="00E507C2" w:rsidP="00BF2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31E3A">
              <w:rPr>
                <w:rFonts w:cs="Arial"/>
                <w:b/>
                <w:sz w:val="18"/>
                <w:szCs w:val="18"/>
              </w:rPr>
              <w:t>Riferimenti programmatici e linee di finanziamento</w:t>
            </w:r>
          </w:p>
        </w:tc>
        <w:tc>
          <w:tcPr>
            <w:tcW w:w="7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22EAB2" w14:textId="27DD972F" w:rsidR="00E507C2" w:rsidRPr="00F31E3A" w:rsidRDefault="00E507C2" w:rsidP="00BF2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</w:tc>
      </w:tr>
      <w:tr w:rsidR="00E507C2" w:rsidRPr="00F31E3A" w14:paraId="715B6E10" w14:textId="77777777" w:rsidTr="00BF2563">
        <w:trPr>
          <w:cantSplit/>
          <w:trHeight w:val="284"/>
        </w:trPr>
        <w:tc>
          <w:tcPr>
            <w:tcW w:w="208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2E24D2F" w14:textId="77777777" w:rsidR="00E507C2" w:rsidRPr="00F31E3A" w:rsidRDefault="00E507C2" w:rsidP="00BF2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31E3A">
              <w:rPr>
                <w:rFonts w:cs="Arial"/>
                <w:b/>
                <w:sz w:val="18"/>
                <w:szCs w:val="18"/>
              </w:rPr>
              <w:t>Riferimenti e allegati tecnici</w:t>
            </w:r>
          </w:p>
        </w:tc>
        <w:tc>
          <w:tcPr>
            <w:tcW w:w="7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B658E7" w14:textId="77777777" w:rsidR="005D233C" w:rsidRPr="00A16452" w:rsidRDefault="005D233C" w:rsidP="005D233C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108" w:hanging="108"/>
              <w:rPr>
                <w:rFonts w:cs="Arial"/>
                <w:sz w:val="18"/>
                <w:szCs w:val="18"/>
              </w:rPr>
            </w:pPr>
            <w:r w:rsidRPr="00A16452">
              <w:rPr>
                <w:rFonts w:cs="Arial"/>
                <w:sz w:val="18"/>
                <w:szCs w:val="18"/>
              </w:rPr>
              <w:t>Linee Guida per la mitigazione dell’impatto delle linee elettriche sull’avifauna – ISPRA 2008</w:t>
            </w:r>
          </w:p>
          <w:p w14:paraId="353D2264" w14:textId="77777777" w:rsidR="002369A0" w:rsidRDefault="005D233C" w:rsidP="002369A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108" w:hanging="108"/>
              <w:rPr>
                <w:rFonts w:cs="Arial"/>
                <w:sz w:val="18"/>
                <w:szCs w:val="18"/>
              </w:rPr>
            </w:pPr>
            <w:r w:rsidRPr="00A16452">
              <w:rPr>
                <w:rFonts w:cs="Arial"/>
                <w:sz w:val="18"/>
                <w:szCs w:val="18"/>
              </w:rPr>
              <w:t>Protocollo per il rilevamento e il monitoraggio di uccelli collisi con le linee elettriche (Dell’Omo G. &amp; Moiana L., 2013)</w:t>
            </w:r>
          </w:p>
          <w:p w14:paraId="7EB7EF11" w14:textId="39ACCCE4" w:rsidR="00E507C2" w:rsidRPr="002369A0" w:rsidRDefault="005D233C" w:rsidP="002369A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108" w:hanging="108"/>
              <w:rPr>
                <w:rFonts w:cs="Arial"/>
                <w:sz w:val="18"/>
                <w:szCs w:val="18"/>
              </w:rPr>
            </w:pPr>
            <w:r w:rsidRPr="002369A0">
              <w:rPr>
                <w:rFonts w:cs="Arial"/>
                <w:sz w:val="18"/>
                <w:szCs w:val="18"/>
              </w:rPr>
              <w:t>Rapporto Ricerca di sistema «Progetto BIODIVERSITA’» l’impatto delle linee elettriche sull’avifauna (Garavaglia &amp; Rubolini, 2000)</w:t>
            </w:r>
          </w:p>
        </w:tc>
      </w:tr>
    </w:tbl>
    <w:p w14:paraId="2A36F620" w14:textId="77777777" w:rsidR="002764C6" w:rsidRDefault="002764C6"/>
    <w:sectPr w:rsidR="002764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F46511"/>
    <w:multiLevelType w:val="hybridMultilevel"/>
    <w:tmpl w:val="067896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A3705E"/>
    <w:multiLevelType w:val="hybridMultilevel"/>
    <w:tmpl w:val="D870DAEC"/>
    <w:lvl w:ilvl="0" w:tplc="7A42BC4E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B439B7"/>
    <w:multiLevelType w:val="hybridMultilevel"/>
    <w:tmpl w:val="AC54C4A4"/>
    <w:lvl w:ilvl="0" w:tplc="F822EA02">
      <w:start w:val="1"/>
      <w:numFmt w:val="decimal"/>
      <w:suff w:val="nothing"/>
      <w:lvlText w:val="Azione %1."/>
      <w:lvlJc w:val="center"/>
      <w:pPr>
        <w:ind w:left="144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A8F445A"/>
    <w:multiLevelType w:val="multilevel"/>
    <w:tmpl w:val="84066018"/>
    <w:lvl w:ilvl="0">
      <w:start w:val="1"/>
      <w:numFmt w:val="decimal"/>
      <w:lvlText w:val="%1"/>
      <w:lvlJc w:val="left"/>
      <w:pPr>
        <w:ind w:left="715" w:hanging="432"/>
      </w:pPr>
      <w:rPr>
        <w:i w:val="0"/>
        <w:iCs w:val="0"/>
        <w:sz w:val="36"/>
        <w:szCs w:val="36"/>
      </w:rPr>
    </w:lvl>
    <w:lvl w:ilvl="1">
      <w:start w:val="1"/>
      <w:numFmt w:val="decimal"/>
      <w:pStyle w:val="Titolo2"/>
      <w:lvlText w:val="%1.%2"/>
      <w:lvlJc w:val="left"/>
      <w:pPr>
        <w:ind w:left="2277" w:hanging="576"/>
      </w:pPr>
      <w:rPr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279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51799192">
    <w:abstractNumId w:val="3"/>
  </w:num>
  <w:num w:numId="2" w16cid:durableId="1671060808">
    <w:abstractNumId w:val="3"/>
  </w:num>
  <w:num w:numId="3" w16cid:durableId="1786539370">
    <w:abstractNumId w:val="2"/>
  </w:num>
  <w:num w:numId="4" w16cid:durableId="1703285784">
    <w:abstractNumId w:val="1"/>
  </w:num>
  <w:num w:numId="5" w16cid:durableId="1493183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7C2"/>
    <w:rsid w:val="00112428"/>
    <w:rsid w:val="001D05AE"/>
    <w:rsid w:val="002369A0"/>
    <w:rsid w:val="002764C6"/>
    <w:rsid w:val="0037470E"/>
    <w:rsid w:val="003903C0"/>
    <w:rsid w:val="004A3393"/>
    <w:rsid w:val="005D233C"/>
    <w:rsid w:val="00687F53"/>
    <w:rsid w:val="00726991"/>
    <w:rsid w:val="00732D44"/>
    <w:rsid w:val="00770B01"/>
    <w:rsid w:val="007B6B78"/>
    <w:rsid w:val="00856C81"/>
    <w:rsid w:val="008E508E"/>
    <w:rsid w:val="00A0198E"/>
    <w:rsid w:val="00A47DFC"/>
    <w:rsid w:val="00B16EF6"/>
    <w:rsid w:val="00BD186E"/>
    <w:rsid w:val="00BE4741"/>
    <w:rsid w:val="00DD25DE"/>
    <w:rsid w:val="00E507C2"/>
    <w:rsid w:val="00EF751E"/>
    <w:rsid w:val="00FF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F14C4"/>
  <w15:chartTrackingRefBased/>
  <w15:docId w15:val="{F286314A-0A4A-4B06-997D-14A2E365D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07C2"/>
    <w:pPr>
      <w:spacing w:after="120" w:line="360" w:lineRule="auto"/>
      <w:ind w:firstLine="284"/>
      <w:jc w:val="both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507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26991"/>
    <w:pPr>
      <w:keepNext/>
      <w:keepLines/>
      <w:numPr>
        <w:ilvl w:val="1"/>
        <w:numId w:val="2"/>
      </w:numPr>
      <w:spacing w:before="80" w:after="0" w:line="240" w:lineRule="auto"/>
      <w:ind w:left="576"/>
      <w:outlineLvl w:val="1"/>
    </w:pPr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507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507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507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507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507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507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507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26991"/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507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507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507C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507C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507C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507C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507C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507C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507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507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507C2"/>
    <w:pPr>
      <w:numPr>
        <w:ilvl w:val="1"/>
      </w:numPr>
      <w:ind w:firstLine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507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507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507C2"/>
    <w:rPr>
      <w:i/>
      <w:iCs/>
      <w:color w:val="404040" w:themeColor="text1" w:themeTint="BF"/>
    </w:rPr>
  </w:style>
  <w:style w:type="paragraph" w:styleId="Paragrafoelenco">
    <w:name w:val="List Paragraph"/>
    <w:basedOn w:val="Normale"/>
    <w:link w:val="ParagrafoelencoCarattere"/>
    <w:uiPriority w:val="99"/>
    <w:qFormat/>
    <w:rsid w:val="00E507C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E507C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507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507C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507C2"/>
    <w:rPr>
      <w:b/>
      <w:bCs/>
      <w:smallCaps/>
      <w:color w:val="0F4761" w:themeColor="accent1" w:themeShade="BF"/>
      <w:spacing w:val="5"/>
    </w:rPr>
  </w:style>
  <w:style w:type="character" w:customStyle="1" w:styleId="ParagrafoelencoCarattere">
    <w:name w:val="Paragrafo elenco Carattere"/>
    <w:basedOn w:val="Carpredefinitoparagrafo"/>
    <w:link w:val="Paragrafoelenco"/>
    <w:uiPriority w:val="99"/>
    <w:rsid w:val="00E507C2"/>
  </w:style>
  <w:style w:type="paragraph" w:styleId="Revisione">
    <w:name w:val="Revision"/>
    <w:hidden/>
    <w:uiPriority w:val="99"/>
    <w:semiHidden/>
    <w:rsid w:val="00BE4741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732D4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32D44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32D44"/>
    <w:rPr>
      <w:rFonts w:ascii="Arial" w:eastAsia="Times New Roman" w:hAnsi="Arial" w:cs="Times New Roman"/>
      <w:kern w:val="0"/>
      <w:sz w:val="20"/>
      <w:szCs w:val="20"/>
      <w:lang w:eastAsia="it-IT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32D4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32D44"/>
    <w:rPr>
      <w:rFonts w:ascii="Arial" w:eastAsia="Times New Roman" w:hAnsi="Arial" w:cs="Times New Roman"/>
      <w:b/>
      <w:bCs/>
      <w:kern w:val="0"/>
      <w:sz w:val="20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ecf88f4-84f4-4250-97e1-6fa1a67bef0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7A7D1F9D6BC134082D923EEBF06B6EC" ma:contentTypeVersion="14" ma:contentTypeDescription="Creare un nuovo documento." ma:contentTypeScope="" ma:versionID="4e3f646df62a7452ecb0ec43b8bb691c">
  <xsd:schema xmlns:xsd="http://www.w3.org/2001/XMLSchema" xmlns:xs="http://www.w3.org/2001/XMLSchema" xmlns:p="http://schemas.microsoft.com/office/2006/metadata/properties" xmlns:ns3="6ecf88f4-84f4-4250-97e1-6fa1a67bef08" xmlns:ns4="4f77bde0-81fd-4ede-b884-3949569468c5" targetNamespace="http://schemas.microsoft.com/office/2006/metadata/properties" ma:root="true" ma:fieldsID="af37968d2d02beff3f9ed95f72938247" ns3:_="" ns4:_="">
    <xsd:import namespace="6ecf88f4-84f4-4250-97e1-6fa1a67bef08"/>
    <xsd:import namespace="4f77bde0-81fd-4ede-b884-3949569468c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ystemTags" minOccurs="0"/>
                <xsd:element ref="ns3:MediaServiceDateTake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cf88f4-84f4-4250-97e1-6fa1a67bef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77bde0-81fd-4ede-b884-3949569468c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460D5D-096B-4126-9FDC-E44374A0DA33}">
  <ds:schemaRefs>
    <ds:schemaRef ds:uri="http://schemas.microsoft.com/office/2006/metadata/properties"/>
    <ds:schemaRef ds:uri="http://schemas.microsoft.com/office/infopath/2007/PartnerControls"/>
    <ds:schemaRef ds:uri="6ecf88f4-84f4-4250-97e1-6fa1a67bef08"/>
  </ds:schemaRefs>
</ds:datastoreItem>
</file>

<file path=customXml/itemProps2.xml><?xml version="1.0" encoding="utf-8"?>
<ds:datastoreItem xmlns:ds="http://schemas.openxmlformats.org/officeDocument/2006/customXml" ds:itemID="{D14182F4-7A0E-4FBF-B26E-D00EE179EA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cf88f4-84f4-4250-97e1-6fa1a67bef08"/>
    <ds:schemaRef ds:uri="4f77bde0-81fd-4ede-b884-3949569468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D3915F-B761-4D51-A54F-0BFC1F46DA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oliva.federico</dc:creator>
  <cp:keywords/>
  <dc:description/>
  <cp:lastModifiedBy>silvia carletti</cp:lastModifiedBy>
  <cp:revision>3</cp:revision>
  <dcterms:created xsi:type="dcterms:W3CDTF">2024-04-04T10:13:00Z</dcterms:created>
  <dcterms:modified xsi:type="dcterms:W3CDTF">2024-07-29T08:20:00Z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0x010100C7A7D1F9D6BC134082D923EEBF06B6EC</vt:lpwstr>
  </property>
</Properties>
</file>